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FC" w:rsidRDefault="00217509" w:rsidP="00E924FC">
      <w:pPr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E92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ПРОЕКТ №</w:t>
      </w:r>
      <w:r w:rsidR="00A848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</w:t>
      </w:r>
    </w:p>
    <w:p w:rsidR="00BA1284" w:rsidRPr="00E3348F" w:rsidRDefault="00E924FC" w:rsidP="00E924FC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BA1284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BA1284" w:rsidRPr="00E3348F" w:rsidRDefault="00BA1284" w:rsidP="00E924FC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92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шістдесятої 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    </w:t>
      </w:r>
    </w:p>
    <w:p w:rsidR="006B1CFC" w:rsidRDefault="00E924FC" w:rsidP="00E924FC">
      <w:pPr>
        <w:spacing w:line="360" w:lineRule="auto"/>
        <w:ind w:left="5664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17509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VII</w:t>
      </w:r>
      <w:r w:rsidR="00BA1284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</w:t>
      </w:r>
      <w:r w:rsidR="00217509" w:rsidRPr="00E3348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B1CFC">
        <w:rPr>
          <w:rFonts w:ascii="Times New Roman" w:eastAsia="Times New Roman" w:hAnsi="Times New Roman"/>
          <w:sz w:val="28"/>
          <w:lang w:eastAsia="ru-RU"/>
        </w:rPr>
        <w:t xml:space="preserve">        </w:t>
      </w:r>
    </w:p>
    <w:p w:rsidR="00BA1284" w:rsidRPr="006B1CFC" w:rsidRDefault="006B1CFC" w:rsidP="00E924FC">
      <w:pPr>
        <w:spacing w:line="36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="00AC6D77" w:rsidRPr="00E3348F">
        <w:rPr>
          <w:rFonts w:ascii="Times New Roman" w:eastAsia="Times New Roman" w:hAnsi="Times New Roman"/>
          <w:sz w:val="28"/>
          <w:lang w:eastAsia="ru-RU"/>
        </w:rPr>
        <w:t>травня</w:t>
      </w:r>
      <w:r w:rsidR="00217509" w:rsidRPr="00E3348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4F1410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="00BA1284" w:rsidRPr="00E334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1284" w:rsidRPr="00E3348F" w:rsidRDefault="00BA1284" w:rsidP="006B1CFC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ПРОГРАМА</w:t>
      </w:r>
    </w:p>
    <w:p w:rsidR="00BA1284" w:rsidRPr="00E3348F" w:rsidRDefault="00BA1284" w:rsidP="006B1CFC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C0014A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AC6D77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E1B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C6D77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2020</w:t>
      </w:r>
      <w:r w:rsidR="00B54CD4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рік</w:t>
      </w:r>
      <w:r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</w:rPr>
        <w:t xml:space="preserve">м. </w:t>
      </w:r>
      <w:r w:rsidRPr="00E3348F">
        <w:rPr>
          <w:rFonts w:ascii="Times New Roman" w:eastAsia="Times New Roman" w:hAnsi="Times New Roman"/>
          <w:b/>
          <w:iCs/>
          <w:sz w:val="28"/>
          <w:szCs w:val="28"/>
        </w:rPr>
        <w:t>Новгород-Сіверський</w:t>
      </w:r>
    </w:p>
    <w:p w:rsidR="00BA1284" w:rsidRPr="00E3348F" w:rsidRDefault="00AC6D77" w:rsidP="006B1CFC">
      <w:pPr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</w:rPr>
        <w:t>2020</w:t>
      </w:r>
      <w:r w:rsidR="00BA1284" w:rsidRPr="00E3348F">
        <w:rPr>
          <w:rFonts w:ascii="Times New Roman" w:eastAsia="Times New Roman" w:hAnsi="Times New Roman"/>
          <w:b/>
          <w:bCs/>
          <w:sz w:val="28"/>
          <w:szCs w:val="28"/>
        </w:rPr>
        <w:t xml:space="preserve"> рік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Зміст Програми</w:t>
      </w: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І. Паспорт Програми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ІІ. Визначення проблеми, на розв’язання якої спрямована Програма.</w:t>
      </w: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ІІІ. Визначення мети Програми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</w:rPr>
        <w:t>ІV. Обґрунтування шляхів і засобів розв’язання проблеми, обсягів                 та джерел фінансування; строки та етапи виконання Програми.</w:t>
      </w:r>
      <w:r w:rsidRPr="00E3348F">
        <w:rPr>
          <w:rFonts w:ascii="Times New Roman" w:eastAsia="Times New Roman" w:hAnsi="Times New Roman"/>
          <w:color w:val="000000"/>
          <w:sz w:val="28"/>
        </w:rPr>
        <w:tab/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V. Перелік завдань Програми та результативні показники.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VI. Напрями діяльності та заходи Програми.</w:t>
      </w: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VIІ. Координація та контроль за ходом виконання Програми.</w:t>
      </w:r>
    </w:p>
    <w:p w:rsidR="00BA1284" w:rsidRPr="00E3348F" w:rsidRDefault="00BA1284" w:rsidP="006B1CFC">
      <w:pPr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1701"/>
        <w:gridCol w:w="8045"/>
      </w:tblGrid>
      <w:tr w:rsidR="00BA1284" w:rsidRPr="00E3348F" w:rsidTr="00E3348F">
        <w:tc>
          <w:tcPr>
            <w:tcW w:w="1701" w:type="dxa"/>
            <w:hideMark/>
          </w:tcPr>
          <w:p w:rsidR="00BA1284" w:rsidRPr="00E3348F" w:rsidRDefault="00E3348F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 1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45" w:type="dxa"/>
            <w:hideMark/>
          </w:tcPr>
          <w:p w:rsidR="00E3348F" w:rsidRPr="00E3348F" w:rsidRDefault="00E3348F" w:rsidP="006B1CFC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Перелік напрямів діяльності та заходів, передбачених Програмою 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F3509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2020 рік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284" w:rsidRPr="00E3348F" w:rsidTr="00E3348F">
        <w:tc>
          <w:tcPr>
            <w:tcW w:w="1701" w:type="dxa"/>
            <w:hideMark/>
          </w:tcPr>
          <w:p w:rsidR="00BA1284" w:rsidRPr="00E3348F" w:rsidRDefault="00BA1284" w:rsidP="006B1C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hideMark/>
          </w:tcPr>
          <w:p w:rsidR="00BA1284" w:rsidRPr="00E3348F" w:rsidRDefault="00BA1284" w:rsidP="006B1CFC">
            <w:pPr>
              <w:rPr>
                <w:sz w:val="20"/>
                <w:szCs w:val="20"/>
                <w:lang w:eastAsia="ru-RU"/>
              </w:rPr>
            </w:pPr>
          </w:p>
        </w:tc>
      </w:tr>
      <w:tr w:rsidR="00BA1284" w:rsidRPr="00E3348F" w:rsidTr="00E3348F">
        <w:tc>
          <w:tcPr>
            <w:tcW w:w="1701" w:type="dxa"/>
            <w:hideMark/>
          </w:tcPr>
          <w:p w:rsidR="00BA1284" w:rsidRPr="00E3348F" w:rsidRDefault="00BA1284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</w:t>
            </w:r>
            <w:r w:rsid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2:</w:t>
            </w:r>
          </w:p>
        </w:tc>
        <w:tc>
          <w:tcPr>
            <w:tcW w:w="8045" w:type="dxa"/>
            <w:hideMark/>
          </w:tcPr>
          <w:p w:rsidR="00BA1284" w:rsidRPr="00E3348F" w:rsidRDefault="00BA1284" w:rsidP="006B1CFC">
            <w:pPr>
              <w:spacing w:line="0" w:lineRule="atLeast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Ресурсне забезпечення </w:t>
            </w:r>
            <w:r w:rsidR="000743D2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      </w:r>
            <w:r w:rsidR="000743D2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F3509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43D2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="00EF3509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0743D2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рік.</w:t>
            </w:r>
          </w:p>
        </w:tc>
      </w:tr>
    </w:tbl>
    <w:p w:rsidR="00BA1284" w:rsidRPr="00E3348F" w:rsidRDefault="00BA1284" w:rsidP="006B1CFC">
      <w:pPr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Pr="00E3348F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І. ПАСПОРТ </w:t>
      </w:r>
    </w:p>
    <w:p w:rsidR="00BA1284" w:rsidRPr="006B1CFC" w:rsidRDefault="00217509" w:rsidP="006B1CFC">
      <w:pPr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Програми</w:t>
      </w:r>
      <w:r w:rsidR="00BA1284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743D2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</w:t>
      </w:r>
      <w:r w:rsidR="00AC6D77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 Чернігівської області</w:t>
      </w:r>
      <w:r w:rsidR="001F6513" w:rsidRPr="006B1CF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6B1CF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</w:t>
      </w:r>
      <w:r w:rsidR="00AC6D77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2020</w:t>
      </w:r>
      <w:r w:rsidR="000743D2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рік</w:t>
      </w:r>
      <w:r w:rsidR="006B1C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DCB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(далі – Програма, КНП «Новгород-Сіверський районний Центр ПМСД)</w:t>
      </w:r>
    </w:p>
    <w:p w:rsidR="000743D2" w:rsidRPr="00E3348F" w:rsidRDefault="000743D2" w:rsidP="006B1CFC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66"/>
        <w:gridCol w:w="3016"/>
        <w:gridCol w:w="6095"/>
      </w:tblGrid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 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Ініціатор розроблення П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Дата, номер і назва розпорядчого документа органу виконавчої влади </w:t>
            </w:r>
            <w:r w:rsidR="00834DCB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розроблення П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Бюджетний кодекс України</w:t>
            </w:r>
            <w:r w:rsidR="00981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1030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(ст.91)</w:t>
            </w:r>
            <w:r w:rsidR="00981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Закон</w:t>
            </w:r>
            <w:r w:rsidR="00FE7C6B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України «</w:t>
            </w:r>
            <w:r w:rsidR="00217509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 місцеве с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амоврядуванн</w:t>
            </w:r>
            <w:r w:rsidR="00217509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я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 Україні»</w:t>
            </w:r>
            <w:r w:rsidR="00FE7C6B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 «Основи законодавства України про охорону здоров’я», «Про державні фінансові гарантії медичного обслуговування населення»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Відповідальний виконавець П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5.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ind w:lef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  <w:r w:rsidR="00CD17A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Новгород-Сіверська міська рада</w:t>
            </w:r>
          </w:p>
        </w:tc>
      </w:tr>
      <w:tr w:rsidR="00BF46E6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E3348F" w:rsidRDefault="0024193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46E6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6B1CFC" w:rsidRDefault="001F6513" w:rsidP="006B1CFC">
            <w:pPr>
              <w:ind w:left="-10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8"/>
                <w:szCs w:val="28"/>
              </w:rPr>
              <w:t>Фінансове управління Новгород-Сіверської міської ради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F46E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AC6D77" w:rsidP="006B1CFC">
            <w:pPr>
              <w:spacing w:line="0" w:lineRule="atLeast"/>
              <w:ind w:left="-108" w:firstLine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0743D2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ік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6B1CFC" w:rsidRDefault="006E0E0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FC">
              <w:rPr>
                <w:rFonts w:ascii="Times New Roman" w:hAnsi="Times New Roman"/>
                <w:sz w:val="28"/>
                <w:szCs w:val="28"/>
              </w:rPr>
              <w:t>Бюджет Новгород-Сіверської міської об’єднаної територіальної громади</w:t>
            </w:r>
          </w:p>
        </w:tc>
      </w:tr>
      <w:tr w:rsidR="00BA1284" w:rsidRPr="00E3348F" w:rsidTr="00241936">
        <w:trPr>
          <w:trHeight w:val="2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193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  <w:r w:rsidR="00834DC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C10B20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тис. </w:t>
            </w:r>
            <w:r w:rsidR="00834DC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грн.)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B1CFC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тому числі</w:t>
            </w:r>
            <w:r w:rsidR="00D32C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BA1284" w:rsidRPr="00E3348F" w:rsidRDefault="006E0E0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hAnsi="Times New Roman"/>
                <w:sz w:val="28"/>
                <w:szCs w:val="24"/>
              </w:rPr>
              <w:t>Кошти бюджету Новгород-Сіверської міської об’єднаної територіальної громади, тис.</w:t>
            </w:r>
            <w:r w:rsidR="006B1CF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B1CFC">
              <w:rPr>
                <w:rFonts w:ascii="Times New Roman" w:hAnsi="Times New Roman"/>
                <w:sz w:val="28"/>
                <w:szCs w:val="24"/>
              </w:rPr>
              <w:t>грн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A1284" w:rsidRPr="00E3348F" w:rsidRDefault="0005130C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134,5</w:t>
            </w: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05130C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</w:t>
            </w:r>
            <w:r w:rsidR="00C10B20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C6D77" w:rsidRPr="00E3348F" w:rsidRDefault="00AC6D77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1284" w:rsidRDefault="00BA1284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П. Визначення проблеми, на розв’язання якої спрямована Програма</w:t>
      </w:r>
    </w:p>
    <w:p w:rsidR="00C46C7A" w:rsidRDefault="00C46C7A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6C7A" w:rsidRPr="006B1CFC" w:rsidRDefault="00C46C7A" w:rsidP="006B1CF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 xml:space="preserve">Одним з основних напрямів завдань органів виконавчої влади та місцевого самоврядування є створення умов для ефективного та доступного для </w:t>
      </w:r>
      <w:r w:rsidRPr="006B1CFC">
        <w:rPr>
          <w:rFonts w:ascii="Times New Roman" w:hAnsi="Times New Roman"/>
          <w:sz w:val="28"/>
          <w:szCs w:val="28"/>
        </w:rPr>
        <w:lastRenderedPageBreak/>
        <w:t>всіх громадян медичного обслуговування. Сьогодні існують незаперечні докази, що здоров’я населення є одним з найважливіших чинників розвитку економіки та добробуту населення. Погіршення стану здоров’я населення, високі показники смертності осіб працездатного віку,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застосуванням економічних важелів практично неможливе.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:rsidR="00C46C7A" w:rsidRPr="006B1CFC" w:rsidRDefault="00C46C7A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У сучасних економічних умовах для забезпечення виконання власних статутних завдань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нерідко потребує залучення додаткового фінансування, яке сприятиме стабілізації його фінансово-господарської діяльності, поліпшення стану розрахунків, забезпечення якісною медичною допомогою населення.</w:t>
      </w:r>
    </w:p>
    <w:p w:rsidR="00C46C7A" w:rsidRPr="006B1CFC" w:rsidRDefault="00C46C7A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Програма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  на 2020 рік</w:t>
      </w: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визначає питання організаційної та фінансової підтримки роботи медичного закладу.</w:t>
      </w:r>
    </w:p>
    <w:p w:rsidR="00581DC3" w:rsidRPr="006B1CFC" w:rsidRDefault="00581DC3" w:rsidP="006B1CF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1CFC">
        <w:rPr>
          <w:rFonts w:ascii="Times New Roman" w:hAnsi="Times New Roman"/>
          <w:sz w:val="28"/>
          <w:szCs w:val="28"/>
        </w:rPr>
        <w:t>Первинна медична допомога населенню Новгород-Сіверської міської територіальної громади надається амбулаторією № 1 за адресою:                     вул. Шевченка, буд.17,  м. Новгород-Сіверський та фельдшерським пунктом     с. Горбове за адресою: вул. Шкільна, буд. 308-а, с. Юхнове, Новгород-Сіверський район.</w:t>
      </w:r>
    </w:p>
    <w:p w:rsidR="009938BB" w:rsidRPr="006B1CFC" w:rsidRDefault="00F10507" w:rsidP="006B1CF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9F9F0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Програма орієнтована на забезпечення надання якісної медичної допомоги жителям </w:t>
      </w:r>
      <w:r w:rsidRPr="006B1CFC">
        <w:rPr>
          <w:rFonts w:ascii="Times New Roman" w:hAnsi="Times New Roman"/>
          <w:sz w:val="28"/>
          <w:szCs w:val="28"/>
        </w:rPr>
        <w:t xml:space="preserve">Новгород – Сіверської міської </w:t>
      </w:r>
      <w:r w:rsidR="006B1CFC" w:rsidRPr="006B1CFC">
        <w:rPr>
          <w:rFonts w:ascii="Times New Roman" w:hAnsi="Times New Roman"/>
          <w:sz w:val="28"/>
          <w:szCs w:val="28"/>
        </w:rPr>
        <w:t>об’єднаної</w:t>
      </w:r>
      <w:r w:rsidRPr="006B1CFC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Pr="006B1CFC">
        <w:rPr>
          <w:rFonts w:ascii="Times New Roman" w:hAnsi="Times New Roman"/>
          <w:sz w:val="28"/>
          <w:szCs w:val="28"/>
          <w:shd w:val="clear" w:color="auto" w:fill="F9F9F0"/>
        </w:rPr>
        <w:t xml:space="preserve"> за </w:t>
      </w:r>
      <w:r w:rsidRPr="006B1CFC">
        <w:rPr>
          <w:rFonts w:ascii="Times New Roman" w:hAnsi="Times New Roman"/>
          <w:sz w:val="28"/>
          <w:szCs w:val="28"/>
        </w:rPr>
        <w:t>рахунок розвитку існуючих медичних послуг.</w:t>
      </w:r>
    </w:p>
    <w:p w:rsidR="006B1CFC" w:rsidRDefault="00C76C82" w:rsidP="006B1CFC">
      <w:pPr>
        <w:tabs>
          <w:tab w:val="left" w:pos="0"/>
          <w:tab w:val="left" w:pos="1830"/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t>З 01.11.</w:t>
      </w:r>
      <w:r w:rsidR="009B738A" w:rsidRPr="00E3348F">
        <w:rPr>
          <w:rFonts w:ascii="Times New Roman" w:hAnsi="Times New Roman"/>
          <w:sz w:val="28"/>
          <w:szCs w:val="28"/>
        </w:rPr>
        <w:t>2018</w:t>
      </w:r>
      <w:r w:rsidR="00FB04EF" w:rsidRPr="00E3348F">
        <w:rPr>
          <w:rFonts w:ascii="Times New Roman" w:hAnsi="Times New Roman"/>
          <w:sz w:val="28"/>
          <w:szCs w:val="28"/>
        </w:rPr>
        <w:t xml:space="preserve"> КНП «Новгород-Сіверський районний Центр ПМСД» фінансується Національною службою здоров’я України за Договором про медичне обслуговування населення</w:t>
      </w:r>
      <w:r w:rsidR="00B85187" w:rsidRPr="00E3348F">
        <w:rPr>
          <w:rFonts w:ascii="Times New Roman" w:hAnsi="Times New Roman"/>
          <w:sz w:val="28"/>
          <w:szCs w:val="28"/>
        </w:rPr>
        <w:t xml:space="preserve"> за програмою медичних гарантій</w:t>
      </w:r>
      <w:r w:rsidR="000056CA" w:rsidRPr="00E3348F">
        <w:rPr>
          <w:rFonts w:ascii="Times New Roman" w:hAnsi="Times New Roman"/>
          <w:sz w:val="28"/>
          <w:szCs w:val="28"/>
        </w:rPr>
        <w:t>.</w:t>
      </w:r>
      <w:r w:rsidR="00C17777" w:rsidRPr="00E3348F">
        <w:rPr>
          <w:rFonts w:ascii="Times New Roman" w:hAnsi="Times New Roman"/>
          <w:sz w:val="28"/>
          <w:szCs w:val="28"/>
        </w:rPr>
        <w:t xml:space="preserve"> </w:t>
      </w:r>
      <w:r w:rsidR="009B738A" w:rsidRPr="00E3348F">
        <w:rPr>
          <w:rFonts w:ascii="Times New Roman" w:hAnsi="Times New Roman"/>
          <w:sz w:val="28"/>
          <w:szCs w:val="28"/>
        </w:rPr>
        <w:t>Кошти, отримані за Договором про медичне обслуговування населення за програмою медичних гарантій</w:t>
      </w:r>
      <w:r w:rsidR="00B85187" w:rsidRPr="00E3348F">
        <w:rPr>
          <w:rFonts w:ascii="Times New Roman" w:hAnsi="Times New Roman"/>
          <w:sz w:val="28"/>
          <w:szCs w:val="28"/>
        </w:rPr>
        <w:t>,</w:t>
      </w:r>
      <w:r w:rsidR="009B738A" w:rsidRPr="00E3348F">
        <w:rPr>
          <w:rFonts w:ascii="Times New Roman" w:hAnsi="Times New Roman"/>
          <w:sz w:val="28"/>
          <w:szCs w:val="28"/>
        </w:rPr>
        <w:t xml:space="preserve"> </w:t>
      </w:r>
      <w:r w:rsidR="00784897" w:rsidRPr="00E3348F">
        <w:rPr>
          <w:rFonts w:ascii="Times New Roman" w:hAnsi="Times New Roman"/>
          <w:sz w:val="28"/>
          <w:szCs w:val="28"/>
        </w:rPr>
        <w:t>використовуються підприємством на оплату праці та забезпечення надання медичної допомог</w:t>
      </w:r>
      <w:r w:rsidR="00B85187" w:rsidRPr="00E3348F">
        <w:rPr>
          <w:rFonts w:ascii="Times New Roman" w:hAnsi="Times New Roman"/>
          <w:sz w:val="28"/>
          <w:szCs w:val="28"/>
        </w:rPr>
        <w:t xml:space="preserve">и в повному обсязі, визначеному Порядком надання первинної медичної допомоги, затвердженим наказом МОЗ </w:t>
      </w:r>
    </w:p>
    <w:p w:rsidR="00B85187" w:rsidRPr="00E3348F" w:rsidRDefault="00B85187" w:rsidP="006B1CFC">
      <w:pPr>
        <w:tabs>
          <w:tab w:val="left" w:pos="0"/>
          <w:tab w:val="left" w:pos="1830"/>
          <w:tab w:val="left" w:pos="3165"/>
        </w:tabs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lastRenderedPageBreak/>
        <w:t>України № 504 від 19.03.2018.</w:t>
      </w:r>
    </w:p>
    <w:p w:rsidR="00D46675" w:rsidRPr="00E3348F" w:rsidRDefault="00D46675" w:rsidP="006B1CFC">
      <w:pPr>
        <w:tabs>
          <w:tab w:val="left" w:pos="0"/>
          <w:tab w:val="left" w:pos="1830"/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t>Значною проблемою у КНП «Новгород-Сіверський районний Центр ПМСД</w:t>
      </w:r>
      <w:r w:rsidR="00834DCB" w:rsidRPr="00E3348F">
        <w:rPr>
          <w:rFonts w:ascii="Times New Roman" w:hAnsi="Times New Roman"/>
          <w:sz w:val="28"/>
          <w:szCs w:val="28"/>
        </w:rPr>
        <w:t>»</w:t>
      </w:r>
      <w:r w:rsidRPr="00E3348F">
        <w:rPr>
          <w:rFonts w:ascii="Times New Roman" w:hAnsi="Times New Roman"/>
          <w:sz w:val="28"/>
          <w:szCs w:val="28"/>
        </w:rPr>
        <w:t xml:space="preserve"> є питання оплати комунальних послуг та енергоносіїв. </w:t>
      </w:r>
    </w:p>
    <w:p w:rsidR="003707E8" w:rsidRPr="00E3348F" w:rsidRDefault="00EE0243" w:rsidP="006B1CF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348F">
        <w:rPr>
          <w:rFonts w:ascii="Times New Roman" w:hAnsi="Times New Roman"/>
          <w:sz w:val="28"/>
          <w:szCs w:val="28"/>
          <w:lang w:val="uk-UA"/>
        </w:rPr>
        <w:t>Відповідно до пункту 3 частини 1 статті 89 Бюджетного кодексу України видатки на оплату комунальних послуг та енергоносіїв комунальними закладами охорони здоров’я, що надають первинну медичну допомогу, здійснюються з бюджетів міст обласного значення, районних бюджетів, бюджетів об’єднаних територіальних громад.</w:t>
      </w:r>
    </w:p>
    <w:p w:rsidR="00193A5A" w:rsidRPr="00E3348F" w:rsidRDefault="00193A5A" w:rsidP="006B1CFC">
      <w:pPr>
        <w:jc w:val="both"/>
        <w:rPr>
          <w:rFonts w:ascii="Times New Roman" w:hAnsi="Times New Roman"/>
          <w:sz w:val="28"/>
          <w:szCs w:val="28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ІІІ. Визначення мети Програми</w:t>
      </w:r>
      <w:r w:rsidR="000743D2"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834DCB" w:rsidRPr="00E3348F" w:rsidRDefault="00834DCB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141B" w:rsidRPr="006B1CFC" w:rsidRDefault="00871F5F" w:rsidP="006B1CFC">
      <w:pPr>
        <w:spacing w:line="317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Метою Програми є  забезпечення стабільної роботи та функціонування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з метою виконання ним статутних повноважень, що сприятиме покращенню умов для надання якісної медичної допомоги населенню Новгород – Сіверської міської </w:t>
      </w:r>
      <w:r w:rsidR="006B1CFC" w:rsidRPr="006B1CFC">
        <w:rPr>
          <w:rFonts w:ascii="Times New Roman" w:hAnsi="Times New Roman"/>
          <w:sz w:val="28"/>
          <w:szCs w:val="28"/>
        </w:rPr>
        <w:t>об’єднаної</w:t>
      </w:r>
      <w:r w:rsidRPr="006B1CFC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="00C1141B" w:rsidRPr="006B1CFC">
        <w:rPr>
          <w:rFonts w:ascii="Times New Roman" w:hAnsi="Times New Roman"/>
          <w:sz w:val="28"/>
          <w:szCs w:val="28"/>
        </w:rPr>
        <w:t>, продовження тривалості здорового життя населення.</w:t>
      </w:r>
    </w:p>
    <w:p w:rsidR="009D0D66" w:rsidRPr="006B1CFC" w:rsidRDefault="009D0D66" w:rsidP="006B1CFC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871F5F" w:rsidRPr="00E3348F" w:rsidRDefault="00871F5F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1284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Обґрунтування шляхів і засобів розв’язання проблеми, обсягів та джерел фінансування; строки та етапи виконання програми</w:t>
      </w:r>
    </w:p>
    <w:p w:rsidR="006B1CFC" w:rsidRDefault="006B1CFC" w:rsidP="006B1CF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Мережа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 частково забезпечує потреби населення у доступній, високоякісній та ефективній первинній медичній допомозі.</w:t>
      </w:r>
    </w:p>
    <w:p w:rsidR="00137350" w:rsidRPr="006B1CFC" w:rsidRDefault="00AA3478" w:rsidP="006B1CFC">
      <w:pPr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>Реформи, які проводяться у сфері охорони здоров’я направлені на формування спроможної мережі надання первинної медичної допомоги, підняття на значно вищий рівень матеріально-технічної, діагностичної та лікувальної бази в первинній ланці, проведення будівництва, реконструкції та ремонту наявних приміщень, забезпечення транспортом, сучасним медичним обладнанням, інструментами та створення необхідних умов для комфортного обслуговування пацієнтів.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Основними шляхами розв’язання проблем є: 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пріоритетний розвиток первинної медико-санітарної допомоги; 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 удосконалення надання невідкладної медичної допомоги населенню громади, в межах лікувального закладу;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удосконалення матеріально–технічної бази охорони здоров’я відповідно до світових стандартів, запровадження правових, економічних, управлінських механізмів, забезпечення конституційних прав громадян на охорону здоров’я; 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поліпшення стану здоров’я всіх верств населення, зниження рівня захворюваності, інвалідності, смертності, продовження активного довголіття і тривалості життя; 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підвищення ефективності використання фінансових та матеріальних ресурсів охорони здоров’я. </w:t>
      </w:r>
    </w:p>
    <w:p w:rsidR="009D0D66" w:rsidRPr="006B1CFC" w:rsidRDefault="009D0D66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Система охорони здоров’я </w:t>
      </w:r>
      <w:r w:rsidR="007C7173" w:rsidRPr="006B1CFC">
        <w:rPr>
          <w:rFonts w:ascii="Times New Roman" w:hAnsi="Times New Roman"/>
          <w:sz w:val="28"/>
          <w:szCs w:val="28"/>
        </w:rPr>
        <w:t xml:space="preserve">на території Новгород-Сіверської ОТГ, як і в цілому  на території </w:t>
      </w:r>
      <w:r w:rsidRPr="006B1CFC">
        <w:rPr>
          <w:rFonts w:ascii="Times New Roman" w:hAnsi="Times New Roman"/>
          <w:sz w:val="28"/>
          <w:szCs w:val="28"/>
        </w:rPr>
        <w:t>Новгород-Сіверського району</w:t>
      </w:r>
      <w:r w:rsidR="00C53D6A" w:rsidRPr="006B1CFC">
        <w:rPr>
          <w:rFonts w:ascii="Times New Roman" w:hAnsi="Times New Roman"/>
          <w:sz w:val="28"/>
          <w:szCs w:val="28"/>
        </w:rPr>
        <w:t>,</w:t>
      </w:r>
      <w:r w:rsidRPr="006B1CFC">
        <w:rPr>
          <w:rFonts w:ascii="Times New Roman" w:hAnsi="Times New Roman"/>
          <w:sz w:val="28"/>
          <w:szCs w:val="28"/>
        </w:rPr>
        <w:t xml:space="preserve"> не забезпечує у повному </w:t>
      </w:r>
      <w:r w:rsidRPr="006B1CFC">
        <w:rPr>
          <w:rFonts w:ascii="Times New Roman" w:hAnsi="Times New Roman"/>
          <w:sz w:val="28"/>
          <w:szCs w:val="28"/>
        </w:rPr>
        <w:lastRenderedPageBreak/>
        <w:t xml:space="preserve">обсязі потреби населення у доступній, високоякісній та ефективній первинній медичній допомозі. </w:t>
      </w:r>
      <w:r w:rsidR="00B85187" w:rsidRPr="006B1CFC">
        <w:rPr>
          <w:rFonts w:ascii="Times New Roman" w:hAnsi="Times New Roman"/>
          <w:sz w:val="28"/>
          <w:szCs w:val="28"/>
        </w:rPr>
        <w:t>Кошти, отримані за Договором про медичне обслуговування населення за програмою медичних гарантій спрямовані на підвищення рівня</w:t>
      </w:r>
      <w:r w:rsidRPr="006B1CFC">
        <w:rPr>
          <w:rFonts w:ascii="Times New Roman" w:hAnsi="Times New Roman"/>
          <w:sz w:val="28"/>
          <w:szCs w:val="28"/>
        </w:rPr>
        <w:t xml:space="preserve"> матеріально-технічної, діагностичної та лікувальної бази в медичній галузі, проведення реконструкції та ремонту наявних приміщень, забезпечення сучасним медичним обладнанням, інструментами та створення необхідних умов для комфортного перебування пацієнтів. </w:t>
      </w:r>
      <w:r w:rsidR="00B85187" w:rsidRPr="006B1CFC">
        <w:rPr>
          <w:rFonts w:ascii="Times New Roman" w:hAnsi="Times New Roman"/>
          <w:sz w:val="28"/>
          <w:szCs w:val="28"/>
        </w:rPr>
        <w:t>Реформи, які проводяться у сфері охорони здоров’я</w:t>
      </w:r>
      <w:r w:rsidR="00DC4327" w:rsidRPr="006B1CFC">
        <w:rPr>
          <w:rFonts w:ascii="Times New Roman" w:hAnsi="Times New Roman"/>
          <w:sz w:val="28"/>
          <w:szCs w:val="28"/>
        </w:rPr>
        <w:t xml:space="preserve">, не можуть у повному обсязі забезпечити повноцінне функціонування комунальних закладів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охорони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здоров’я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>місцевого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 значення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 та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розраховані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на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>значну підтримку органів місцевої влади та самоврядування.</w:t>
      </w:r>
    </w:p>
    <w:p w:rsidR="00C53D6A" w:rsidRPr="006B1CFC" w:rsidRDefault="00C53D6A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D6A" w:rsidRPr="006B1CFC" w:rsidRDefault="00C53D6A" w:rsidP="006B1CFC">
      <w:pPr>
        <w:widowControl w:val="0"/>
        <w:tabs>
          <w:tab w:val="left" w:pos="31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CFC">
        <w:rPr>
          <w:rFonts w:ascii="Times New Roman" w:eastAsia="Times New Roman" w:hAnsi="Times New Roman"/>
          <w:sz w:val="28"/>
          <w:szCs w:val="28"/>
        </w:rPr>
        <w:t xml:space="preserve">Досягнення визначеної мети Програми можливе шляхом надання фінансової підтримки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</w:t>
      </w:r>
      <w:r w:rsidRPr="006B1CFC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0F2CAA" w:rsidRPr="006B1CFC">
        <w:rPr>
          <w:rFonts w:ascii="Times New Roman" w:hAnsi="Times New Roman"/>
          <w:sz w:val="28"/>
          <w:szCs w:val="28"/>
          <w:shd w:val="clear" w:color="auto" w:fill="FFFFFF"/>
        </w:rPr>
        <w:t>оплату медичних послуг в обсязі вартості комунальних послуг та енергоносіїв</w:t>
      </w:r>
      <w:r w:rsidRPr="006B1CFC">
        <w:rPr>
          <w:rFonts w:ascii="Times New Roman" w:eastAsia="Times New Roman" w:hAnsi="Times New Roman"/>
          <w:sz w:val="28"/>
          <w:szCs w:val="28"/>
        </w:rPr>
        <w:t>.</w:t>
      </w:r>
    </w:p>
    <w:p w:rsidR="00086092" w:rsidRPr="006B1CFC" w:rsidRDefault="00C53D6A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Фінансування Програми здійснюється за рахунок коштів бюджету Новгород-Сіверської міської об’єднаної територіальної громади шляхом надання іншої субвенції Новгород-Сіверському районному бюджету. Орієнтовний обсяг фінансування на 2020 рік, </w:t>
      </w:r>
      <w:r w:rsidRPr="006B1CFC">
        <w:rPr>
          <w:rFonts w:ascii="Times New Roman" w:eastAsia="Times New Roman" w:hAnsi="Times New Roman"/>
          <w:sz w:val="28"/>
          <w:szCs w:val="28"/>
        </w:rPr>
        <w:t>виходячи із  фінансових можливостей бюджету,</w:t>
      </w:r>
      <w:r w:rsidRPr="006B1CFC">
        <w:rPr>
          <w:rFonts w:ascii="Times New Roman" w:hAnsi="Times New Roman"/>
          <w:sz w:val="28"/>
          <w:szCs w:val="28"/>
        </w:rPr>
        <w:t xml:space="preserve"> складає </w:t>
      </w:r>
      <w:r w:rsidR="000F2CAA" w:rsidRPr="006B1CFC">
        <w:rPr>
          <w:rFonts w:ascii="Times New Roman" w:hAnsi="Times New Roman"/>
          <w:sz w:val="28"/>
          <w:szCs w:val="28"/>
          <w:shd w:val="clear" w:color="auto" w:fill="FFFFFF"/>
        </w:rPr>
        <w:t xml:space="preserve">134,5 тис. </w:t>
      </w:r>
      <w:r w:rsidRPr="006B1CFC">
        <w:rPr>
          <w:rFonts w:ascii="Times New Roman" w:hAnsi="Times New Roman"/>
          <w:sz w:val="28"/>
          <w:szCs w:val="28"/>
        </w:rPr>
        <w:t>гривень.</w:t>
      </w:r>
    </w:p>
    <w:p w:rsidR="00086092" w:rsidRPr="006B1CFC" w:rsidRDefault="00086092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  Обсяги фінансування згідно договорів на оплату послуг:</w:t>
      </w:r>
    </w:p>
    <w:p w:rsidR="00086092" w:rsidRPr="006B1CFC" w:rsidRDefault="00086092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/>
        </w:rPr>
        <w:t>1) фінансування оплати медичних послуг в обсязі вартості комунальних послуг</w:t>
      </w:r>
      <w:r w:rsidRPr="006B1CFC">
        <w:rPr>
          <w:rFonts w:ascii="Times New Roman" w:hAnsi="Times New Roman"/>
          <w:sz w:val="28"/>
          <w:szCs w:val="28"/>
        </w:rPr>
        <w:t xml:space="preserve"> по амбулаторії № 1:</w:t>
      </w:r>
    </w:p>
    <w:p w:rsidR="00086092" w:rsidRPr="006B1CFC" w:rsidRDefault="00086092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КЕКВ 2271 – Оплата послуг з теплопостачання  на суму 130,0 тис. гривень; </w:t>
      </w:r>
    </w:p>
    <w:p w:rsidR="00086092" w:rsidRPr="006B1CFC" w:rsidRDefault="00086092" w:rsidP="006B1CFC">
      <w:pPr>
        <w:tabs>
          <w:tab w:val="left" w:pos="1560"/>
        </w:tabs>
        <w:ind w:firstLine="709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/>
        </w:rPr>
        <w:t>2) фінансування оплати медичних послуг в обсязі вартості комунальних послуг та енергоносіїв</w:t>
      </w:r>
      <w:r w:rsidRPr="006B1CFC">
        <w:rPr>
          <w:rFonts w:ascii="Times New Roman" w:hAnsi="Times New Roman"/>
          <w:sz w:val="28"/>
          <w:szCs w:val="28"/>
        </w:rPr>
        <w:t xml:space="preserve"> по фельдшерському пункту с. Горбове:</w:t>
      </w:r>
    </w:p>
    <w:p w:rsidR="00086092" w:rsidRPr="006B1CFC" w:rsidRDefault="00086092" w:rsidP="006B1CFC">
      <w:pPr>
        <w:tabs>
          <w:tab w:val="left" w:pos="1560"/>
        </w:tabs>
        <w:ind w:firstLine="709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КЕКВ 2275 – оплата твердого палива (дров паливних) 3,0 тис. гривень.</w:t>
      </w:r>
    </w:p>
    <w:p w:rsidR="00086092" w:rsidRPr="006B1CFC" w:rsidRDefault="00086092" w:rsidP="006B1CFC">
      <w:pPr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КЕКВ 2273 – оплата послуг з розподілу (передачі) та постачання електроенергії 1,5 тис. гривень.</w:t>
      </w:r>
    </w:p>
    <w:p w:rsidR="00086092" w:rsidRPr="006B1CFC" w:rsidRDefault="00086092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D6A" w:rsidRPr="006B1CFC" w:rsidRDefault="00C53D6A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Головним розпорядником коштів є фінансове управління Новгород-Сіверської міської ради.</w:t>
      </w:r>
    </w:p>
    <w:p w:rsidR="00BA1284" w:rsidRPr="006B1CFC" w:rsidRDefault="00C53D6A" w:rsidP="006B1CFC">
      <w:pPr>
        <w:widowControl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 xml:space="preserve">Строк виконання Програми </w:t>
      </w:r>
      <w:r w:rsidR="00BB7CEA" w:rsidRPr="006B1CFC">
        <w:rPr>
          <w:rFonts w:ascii="Times New Roman" w:hAnsi="Times New Roman"/>
          <w:sz w:val="28"/>
          <w:szCs w:val="28"/>
        </w:rPr>
        <w:t xml:space="preserve"> </w:t>
      </w:r>
      <w:r w:rsidRPr="006B1CFC">
        <w:rPr>
          <w:rFonts w:ascii="Times New Roman" w:hAnsi="Times New Roman"/>
          <w:sz w:val="28"/>
          <w:szCs w:val="28"/>
        </w:rPr>
        <w:t xml:space="preserve">- </w:t>
      </w:r>
      <w:r w:rsidR="00813822" w:rsidRPr="006B1CFC">
        <w:rPr>
          <w:rFonts w:ascii="Times New Roman" w:hAnsi="Times New Roman"/>
          <w:sz w:val="28"/>
          <w:szCs w:val="28"/>
        </w:rPr>
        <w:t xml:space="preserve"> </w:t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з 01 червня </w:t>
      </w:r>
      <w:r w:rsidR="00B3087C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214" w:rsidRPr="006B1CFC">
        <w:rPr>
          <w:rFonts w:ascii="Times New Roman" w:eastAsia="Times New Roman" w:hAnsi="Times New Roman"/>
          <w:sz w:val="28"/>
          <w:szCs w:val="28"/>
          <w:lang w:eastAsia="ru-RU"/>
        </w:rPr>
        <w:t>2020 року до  31 грудня 2020</w:t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року. Програма не є довгостроковою. Орієнтовні обсяги фінансування Програми визначаються в Додатках 1,2 до неї.</w:t>
      </w:r>
    </w:p>
    <w:p w:rsidR="00C10B20" w:rsidRPr="006B1CFC" w:rsidRDefault="00C10B20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Перелік завдань Програми та результативні показники</w:t>
      </w:r>
    </w:p>
    <w:p w:rsidR="008D3FD5" w:rsidRPr="00E3348F" w:rsidRDefault="00BA1284" w:rsidP="006B1CFC">
      <w:pPr>
        <w:jc w:val="both"/>
        <w:rPr>
          <w:rFonts w:ascii="Times New Roman" w:eastAsia="Times New Roman" w:hAnsi="Times New Roman"/>
          <w:sz w:val="28"/>
          <w:lang w:eastAsia="ru-RU"/>
        </w:rPr>
      </w:pPr>
      <w:r w:rsidRPr="00E3348F">
        <w:rPr>
          <w:rFonts w:ascii="Times New Roman" w:eastAsia="Times New Roman" w:hAnsi="Times New Roman"/>
          <w:sz w:val="28"/>
          <w:lang w:eastAsia="ru-RU"/>
        </w:rPr>
        <w:tab/>
      </w:r>
    </w:p>
    <w:p w:rsidR="00C97FF5" w:rsidRPr="006B1CFC" w:rsidRDefault="008D3FD5" w:rsidP="006B1CF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lang w:eastAsia="ru-RU"/>
        </w:rPr>
        <w:tab/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E846BD" w:rsidRP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1. Створення умов ефективного функціонування в Новгород-Сіверській об’єднаній територіальній громаді первинної медико-санітарної допомоги.</w:t>
      </w:r>
    </w:p>
    <w:p w:rsid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2. Забезпечення 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доступності 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>та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 покращення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 якості</w:t>
      </w:r>
      <w:r w:rsidR="006B1CFC">
        <w:rPr>
          <w:rFonts w:ascii="Times New Roman" w:hAnsi="Times New Roman"/>
          <w:sz w:val="28"/>
          <w:szCs w:val="28"/>
        </w:rPr>
        <w:t xml:space="preserve">  </w:t>
      </w:r>
      <w:r w:rsidRPr="006B1CFC">
        <w:rPr>
          <w:rFonts w:ascii="Times New Roman" w:hAnsi="Times New Roman"/>
          <w:sz w:val="28"/>
          <w:szCs w:val="28"/>
        </w:rPr>
        <w:t xml:space="preserve"> медичного </w:t>
      </w:r>
    </w:p>
    <w:p w:rsidR="00E846BD" w:rsidRPr="006B1CFC" w:rsidRDefault="00E846BD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обслуговування населення. </w:t>
      </w:r>
    </w:p>
    <w:p w:rsidR="00C97FF5" w:rsidRP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3. З</w:t>
      </w:r>
      <w:r w:rsidR="00C97FF5" w:rsidRPr="006B1CFC">
        <w:rPr>
          <w:rFonts w:ascii="Times New Roman" w:hAnsi="Times New Roman"/>
          <w:sz w:val="28"/>
          <w:szCs w:val="28"/>
        </w:rPr>
        <w:t>міцнення системи медичної допомоги, зосередженої на пацієнтові</w:t>
      </w:r>
      <w:r w:rsidRPr="006B1CFC">
        <w:rPr>
          <w:rFonts w:ascii="Times New Roman" w:hAnsi="Times New Roman"/>
          <w:sz w:val="28"/>
          <w:szCs w:val="28"/>
        </w:rPr>
        <w:t>.</w:t>
      </w:r>
    </w:p>
    <w:p w:rsidR="00107221" w:rsidRPr="006B1CFC" w:rsidRDefault="00107221" w:rsidP="006B1CF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lastRenderedPageBreak/>
        <w:t xml:space="preserve">Очікуваними результатами виконання </w:t>
      </w:r>
      <w:r w:rsidR="008A4D14" w:rsidRPr="006B1CFC">
        <w:rPr>
          <w:rFonts w:ascii="Times New Roman" w:hAnsi="Times New Roman"/>
          <w:sz w:val="28"/>
          <w:szCs w:val="28"/>
        </w:rPr>
        <w:t>Програми є:</w:t>
      </w:r>
    </w:p>
    <w:p w:rsidR="00107221" w:rsidRPr="006B1CFC" w:rsidRDefault="008A4D14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</w:r>
      <w:r w:rsidR="00107221" w:rsidRPr="006B1CFC">
        <w:rPr>
          <w:rFonts w:ascii="Times New Roman" w:hAnsi="Times New Roman"/>
          <w:sz w:val="28"/>
          <w:szCs w:val="28"/>
        </w:rPr>
        <w:t>- гарантована можливість надання  населенню медичної допомоги належної якості;</w:t>
      </w:r>
    </w:p>
    <w:p w:rsidR="008A4D14" w:rsidRPr="006B1CFC" w:rsidRDefault="008A4D14" w:rsidP="006B1C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 забезпечення медичними послугами населення, що мешкає віддалено від місць розташування осередків надання медичної допомоги;</w:t>
      </w:r>
    </w:p>
    <w:p w:rsidR="00107221" w:rsidRPr="006B1CFC" w:rsidRDefault="008A4D14" w:rsidP="006B1CFC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bCs/>
          <w:sz w:val="28"/>
          <w:szCs w:val="28"/>
        </w:rPr>
        <w:tab/>
      </w:r>
      <w:r w:rsidRPr="006B1CFC">
        <w:rPr>
          <w:rFonts w:ascii="Times New Roman" w:hAnsi="Times New Roman"/>
          <w:bCs/>
          <w:sz w:val="28"/>
          <w:szCs w:val="28"/>
        </w:rPr>
        <w:t xml:space="preserve">- своєчасне лікування хвороб та запобігання ускладненому перебігу захворювань,  лікування хронічних захворювань;                                     </w:t>
      </w:r>
    </w:p>
    <w:p w:rsidR="00144A46" w:rsidRPr="006B1CFC" w:rsidRDefault="00144A46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  <w:t>- збільшити питому вагу медичної допомоги, що надається лікарями загальної практики - сімейними лікарями;</w:t>
      </w:r>
    </w:p>
    <w:p w:rsidR="00144A46" w:rsidRPr="006B1CFC" w:rsidRDefault="00144A46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  <w:t>- запровадити ефективну систему багатоканального фінансування, збільшення бюджетних асигнувань на первинну медико-санітарну допомогу;</w:t>
      </w:r>
    </w:p>
    <w:p w:rsidR="00C97FF5" w:rsidRPr="006B1CFC" w:rsidRDefault="00144A46" w:rsidP="006B1CFC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ab/>
        <w:t>- поліпшення надання медичної допомоги соціально незахищеним верствам населення;</w:t>
      </w:r>
    </w:p>
    <w:p w:rsidR="0058485C" w:rsidRPr="006B1CFC" w:rsidRDefault="00DB3A8C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  </w:t>
      </w:r>
      <w:r w:rsidR="00A957C0" w:rsidRPr="006B1CFC">
        <w:rPr>
          <w:rFonts w:ascii="Times New Roman" w:hAnsi="Times New Roman"/>
          <w:sz w:val="28"/>
          <w:szCs w:val="28"/>
        </w:rPr>
        <w:t>- створити комфортні умови надання первинної медичної допомоги лікарями, середніми м</w:t>
      </w:r>
      <w:r w:rsidR="00D82635" w:rsidRPr="006B1CFC">
        <w:rPr>
          <w:rFonts w:ascii="Times New Roman" w:hAnsi="Times New Roman"/>
          <w:sz w:val="28"/>
          <w:szCs w:val="28"/>
        </w:rPr>
        <w:t>едичними працівниками пацієнтам.</w:t>
      </w:r>
    </w:p>
    <w:p w:rsidR="008A4D14" w:rsidRPr="006B1CFC" w:rsidRDefault="008A4D14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</w:t>
      </w:r>
      <w:r w:rsidRPr="006B1CFC">
        <w:rPr>
          <w:rFonts w:ascii="Times New Roman" w:hAnsi="Times New Roman"/>
          <w:szCs w:val="24"/>
        </w:rPr>
        <w:t xml:space="preserve"> </w:t>
      </w:r>
      <w:r w:rsidRPr="006B1CFC">
        <w:rPr>
          <w:rFonts w:ascii="Times New Roman" w:hAnsi="Times New Roman"/>
          <w:sz w:val="28"/>
          <w:szCs w:val="28"/>
        </w:rPr>
        <w:t>покращення громадського здоров’я  внаслідок  наближення медичних  послуг до населення (як до безпосереднього їх споживача).</w:t>
      </w:r>
    </w:p>
    <w:p w:rsidR="008A4D14" w:rsidRPr="008A4D14" w:rsidRDefault="008A4D14" w:rsidP="006B1CFC">
      <w:pPr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4AC4" w:rsidRPr="00E3348F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   </w:t>
      </w: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VI. Напрями діяльності та заходи Програми</w:t>
      </w:r>
    </w:p>
    <w:p w:rsidR="006B1CFC" w:rsidRDefault="006B1CFC" w:rsidP="006B1CFC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126EC" w:rsidRPr="00871FF5" w:rsidRDefault="008126EC" w:rsidP="006B1CFC">
      <w:pPr>
        <w:widowControl w:val="0"/>
        <w:ind w:firstLine="708"/>
        <w:jc w:val="both"/>
        <w:rPr>
          <w:sz w:val="28"/>
          <w:szCs w:val="28"/>
        </w:rPr>
      </w:pPr>
      <w:r w:rsidRPr="00871FF5">
        <w:rPr>
          <w:rFonts w:ascii="Times New Roman" w:eastAsia="Times New Roman" w:hAnsi="Times New Roman"/>
          <w:sz w:val="28"/>
          <w:szCs w:val="28"/>
        </w:rPr>
        <w:t xml:space="preserve">Перелік </w:t>
      </w:r>
      <w:r>
        <w:rPr>
          <w:rFonts w:ascii="Times New Roman" w:eastAsia="Times New Roman" w:hAnsi="Times New Roman"/>
          <w:sz w:val="28"/>
          <w:szCs w:val="28"/>
        </w:rPr>
        <w:t xml:space="preserve">напрямів діяльності та </w:t>
      </w:r>
      <w:r w:rsidRPr="00871FF5">
        <w:rPr>
          <w:rFonts w:ascii="Times New Roman" w:eastAsia="Times New Roman" w:hAnsi="Times New Roman"/>
          <w:sz w:val="28"/>
          <w:szCs w:val="28"/>
        </w:rPr>
        <w:t xml:space="preserve">заходів з виконання Програми наведено </w:t>
      </w:r>
      <w:r w:rsidR="006B1CFC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871FF5">
        <w:rPr>
          <w:rFonts w:ascii="Times New Roman" w:eastAsia="Times New Roman" w:hAnsi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sz w:val="28"/>
          <w:szCs w:val="28"/>
        </w:rPr>
        <w:t>Додатку 1</w:t>
      </w:r>
      <w:r w:rsidRPr="00871FF5">
        <w:rPr>
          <w:rFonts w:ascii="Times New Roman" w:eastAsia="Times New Roman" w:hAnsi="Times New Roman"/>
          <w:sz w:val="28"/>
          <w:szCs w:val="28"/>
        </w:rPr>
        <w:t>.</w:t>
      </w:r>
    </w:p>
    <w:p w:rsidR="005E030C" w:rsidRPr="00E3348F" w:rsidRDefault="005E030C" w:rsidP="006B1CF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348F">
        <w:rPr>
          <w:rFonts w:ascii="Times New Roman" w:hAnsi="Times New Roman"/>
          <w:sz w:val="28"/>
          <w:szCs w:val="28"/>
          <w:lang w:val="uk-UA"/>
        </w:rPr>
        <w:t>Напрямом діяльності Програми є здійснення медичної практики для безпосереднього забезпечення медичного обслуговування  населення Новгород-Сіверської міської територіальної громади шляхом надання йому кваліфікованої планової первинної медико-санітарної допомоги, у відповідності до здійснення фінансування з бюджету шляхом надання фінансової підтримки КНП «Новгород-Сіверський районний Центр ПМСД».</w:t>
      </w:r>
    </w:p>
    <w:p w:rsidR="005E030C" w:rsidRPr="00E3348F" w:rsidRDefault="005E030C" w:rsidP="006B1CFC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VIІ. Координація та контроль за ходом виконання Програми</w:t>
      </w: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30C" w:rsidRPr="006B1CFC" w:rsidRDefault="005E030C" w:rsidP="006B1CFC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1CFC">
        <w:rPr>
          <w:rFonts w:ascii="Times New Roman" w:hAnsi="Times New Roman"/>
          <w:color w:val="auto"/>
          <w:sz w:val="28"/>
          <w:szCs w:val="28"/>
        </w:rPr>
        <w:t xml:space="preserve">Організаційний супровід та координація діяльності щодо виконання Програми здійснюється КНП «Новгород-Сіверський районний Центр ПМСД». </w:t>
      </w:r>
    </w:p>
    <w:p w:rsidR="005E030C" w:rsidRPr="006B1CFC" w:rsidRDefault="00195338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</w:t>
      </w:r>
      <w:r w:rsidRPr="006B1CFC">
        <w:rPr>
          <w:rFonts w:ascii="Times New Roman" w:hAnsi="Times New Roman"/>
          <w:sz w:val="28"/>
          <w:szCs w:val="28"/>
        </w:rPr>
        <w:tab/>
        <w:t>Безпосередній к</w:t>
      </w:r>
      <w:r w:rsidR="005E030C" w:rsidRPr="006B1CFC">
        <w:rPr>
          <w:rFonts w:ascii="Times New Roman" w:hAnsi="Times New Roman"/>
          <w:sz w:val="28"/>
          <w:szCs w:val="28"/>
        </w:rPr>
        <w:t>онтроль за виконанням Програми здійснюється Новгород-Сіверською міською радою.</w:t>
      </w:r>
    </w:p>
    <w:p w:rsidR="005E030C" w:rsidRPr="006B1CFC" w:rsidRDefault="005E030C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</w:t>
      </w:r>
      <w:r w:rsidR="00195338" w:rsidRPr="006B1CFC">
        <w:rPr>
          <w:rFonts w:ascii="Times New Roman" w:hAnsi="Times New Roman"/>
          <w:sz w:val="28"/>
          <w:szCs w:val="28"/>
        </w:rPr>
        <w:tab/>
      </w:r>
      <w:r w:rsidRPr="006B1CFC">
        <w:rPr>
          <w:rFonts w:ascii="Times New Roman" w:hAnsi="Times New Roman"/>
          <w:sz w:val="28"/>
          <w:szCs w:val="28"/>
        </w:rPr>
        <w:t>Контроль за використанням бюджетних коштів, спрямованих на</w:t>
      </w:r>
      <w:r w:rsidRPr="006B1CFC">
        <w:rPr>
          <w:rFonts w:ascii="Times New Roman" w:hAnsi="Times New Roman"/>
          <w:sz w:val="28"/>
          <w:szCs w:val="28"/>
        </w:rPr>
        <w:br/>
        <w:t>забезпечення виконання Програми, здійснюється в порядку, встановленому бюджетним законодавством.</w:t>
      </w:r>
    </w:p>
    <w:p w:rsidR="00BB7FD8" w:rsidRPr="006B1CFC" w:rsidRDefault="005E030C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КНП «Новгород-Сіверський районний Центр ПМСД»</w:t>
      </w:r>
      <w:r w:rsidR="00BB7FD8" w:rsidRPr="006B1CFC">
        <w:rPr>
          <w:rFonts w:ascii="Times New Roman" w:hAnsi="Times New Roman"/>
          <w:sz w:val="28"/>
          <w:szCs w:val="28"/>
        </w:rPr>
        <w:t>:</w:t>
      </w:r>
      <w:r w:rsidRPr="006B1CFC">
        <w:rPr>
          <w:rFonts w:ascii="Times New Roman" w:hAnsi="Times New Roman"/>
          <w:sz w:val="28"/>
          <w:szCs w:val="28"/>
        </w:rPr>
        <w:t xml:space="preserve"> </w:t>
      </w:r>
    </w:p>
    <w:p w:rsidR="00BB7FD8" w:rsidRPr="006B1CFC" w:rsidRDefault="00BB7FD8" w:rsidP="006B1CFC">
      <w:pPr>
        <w:widowControl w:val="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lang w:eastAsia="uk-UA"/>
        </w:rPr>
        <w:t xml:space="preserve">- до 01 лютого 2021 року готує та подає </w:t>
      </w:r>
      <w:r w:rsidRPr="006B1CFC">
        <w:rPr>
          <w:rFonts w:ascii="Times New Roman" w:hAnsi="Times New Roman"/>
          <w:spacing w:val="-2"/>
          <w:sz w:val="28"/>
          <w:szCs w:val="28"/>
        </w:rPr>
        <w:t>відділу економіки міської ради, фінансовому управлінню міської ради інформацію про стан виконання Програми за встановленою формою;</w:t>
      </w:r>
    </w:p>
    <w:p w:rsidR="00BB7FD8" w:rsidRPr="006B1CFC" w:rsidRDefault="00BB7FD8" w:rsidP="006B1CFC">
      <w:pPr>
        <w:widowControl w:val="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B1CFC">
        <w:rPr>
          <w:rFonts w:ascii="Times New Roman" w:hAnsi="Times New Roman"/>
          <w:spacing w:val="-2"/>
          <w:sz w:val="28"/>
          <w:szCs w:val="28"/>
        </w:rPr>
        <w:t xml:space="preserve">- до 01 березня 2021 року </w:t>
      </w:r>
      <w:r w:rsidRPr="006B1CFC">
        <w:rPr>
          <w:rFonts w:ascii="Times New Roman" w:hAnsi="Times New Roman"/>
          <w:sz w:val="28"/>
          <w:szCs w:val="28"/>
          <w:lang w:eastAsia="uk-UA"/>
        </w:rPr>
        <w:t>готує та подає м</w:t>
      </w:r>
      <w:r w:rsidRPr="006B1CFC">
        <w:rPr>
          <w:rFonts w:ascii="Times New Roman" w:hAnsi="Times New Roman"/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BB7FD8" w:rsidRPr="006B1CFC" w:rsidRDefault="00BB7FD8" w:rsidP="006B1CFC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6B1CFC">
        <w:rPr>
          <w:rFonts w:ascii="Times New Roman" w:hAnsi="Times New Roman"/>
          <w:sz w:val="28"/>
          <w:szCs w:val="28"/>
          <w:lang w:eastAsia="uk-UA"/>
        </w:rPr>
        <w:lastRenderedPageBreak/>
        <w:tab/>
        <w:t xml:space="preserve">Контроль за виконанням Програми здійснюється </w:t>
      </w:r>
      <w:r w:rsidRPr="006B1CFC">
        <w:rPr>
          <w:rFonts w:ascii="Times New Roman" w:hAnsi="Times New Roman"/>
          <w:sz w:val="28"/>
          <w:szCs w:val="28"/>
        </w:rPr>
        <w:t>постійною комісією міської ради з питань планування, бюджету та комунальної власності</w:t>
      </w:r>
      <w:r w:rsidRPr="006B1CFC">
        <w:rPr>
          <w:rFonts w:ascii="Times New Roman" w:hAnsi="Times New Roman"/>
          <w:sz w:val="28"/>
          <w:szCs w:val="28"/>
          <w:lang w:eastAsia="uk-UA"/>
        </w:rPr>
        <w:t>.</w:t>
      </w: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 міської ради                                     </w:t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         Ю. Лакоза</w:t>
      </w:r>
    </w:p>
    <w:p w:rsidR="00BA1284" w:rsidRPr="00E3348F" w:rsidRDefault="00BA1284" w:rsidP="006B1CFC">
      <w:pP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BA1284" w:rsidRPr="00E3348F">
          <w:pgSz w:w="11906" w:h="16838"/>
          <w:pgMar w:top="1134" w:right="567" w:bottom="1134" w:left="1701" w:header="709" w:footer="709" w:gutter="0"/>
          <w:cols w:space="720"/>
        </w:sectPr>
      </w:pPr>
    </w:p>
    <w:p w:rsidR="00561529" w:rsidRPr="00E3348F" w:rsidRDefault="00561529" w:rsidP="006B1CFC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                                                                          </w:t>
      </w:r>
      <w:r w:rsidRPr="00E3348F">
        <w:rPr>
          <w:rFonts w:ascii="Times New Roman" w:eastAsia="Times New Roman" w:hAnsi="Times New Roman"/>
          <w:sz w:val="28"/>
          <w:szCs w:val="24"/>
          <w:lang w:eastAsia="ru-RU"/>
        </w:rPr>
        <w:t>Додаток 1</w:t>
      </w:r>
    </w:p>
    <w:p w:rsidR="00561529" w:rsidRPr="00E3348F" w:rsidRDefault="00B3087C" w:rsidP="006B1CFC">
      <w:pPr>
        <w:ind w:left="99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90050F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sz w:val="28"/>
          <w:szCs w:val="28"/>
          <w:lang w:eastAsia="ru-RU"/>
        </w:rPr>
        <w:t> на 2020</w:t>
      </w:r>
      <w:r w:rsidR="0090050F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E86416" w:rsidRPr="00E3348F" w:rsidRDefault="00D82635" w:rsidP="006B1CFC">
      <w:pPr>
        <w:ind w:left="99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>( розділ</w:t>
      </w:r>
      <w:r w:rsidR="006B1CFC" w:rsidRPr="00E92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IV</w:t>
      </w:r>
      <w:r w:rsidR="006B1CFC">
        <w:rPr>
          <w:rFonts w:ascii="Times New Roman" w:eastAsia="Times New Roman" w:hAnsi="Times New Roman"/>
          <w:sz w:val="28"/>
          <w:szCs w:val="28"/>
          <w:lang w:eastAsia="ru-RU"/>
        </w:rPr>
        <w:t>,VI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87C" w:rsidRPr="00E3348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61529" w:rsidRPr="00E3348F" w:rsidRDefault="00561529" w:rsidP="006B1CF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Перелік напрямів діяльності та заходів, передбачених Програмою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на 2020</w:t>
      </w:r>
      <w:r w:rsidR="0090050F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tbl>
      <w:tblPr>
        <w:tblW w:w="0" w:type="auto"/>
        <w:tblInd w:w="108" w:type="dxa"/>
        <w:tblLayout w:type="fixed"/>
        <w:tblLook w:val="04A0"/>
      </w:tblPr>
      <w:tblGrid>
        <w:gridCol w:w="558"/>
        <w:gridCol w:w="2419"/>
        <w:gridCol w:w="2835"/>
        <w:gridCol w:w="1134"/>
        <w:gridCol w:w="1985"/>
        <w:gridCol w:w="1984"/>
        <w:gridCol w:w="1701"/>
        <w:gridCol w:w="2677"/>
      </w:tblGrid>
      <w:tr w:rsidR="00737EB6" w:rsidRPr="00E3348F" w:rsidTr="00D82635">
        <w:trPr>
          <w:trHeight w:val="11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Напрями діяльності</w:t>
            </w: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Строки </w:t>
            </w:r>
            <w:proofErr w:type="spellStart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вико-</w:t>
            </w:r>
            <w:proofErr w:type="spellEnd"/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Джерела</w:t>
            </w:r>
          </w:p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Орієнтовні обсяги фінансування (</w:t>
            </w:r>
            <w:proofErr w:type="spellStart"/>
            <w:r w:rsidR="00C10B20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</w:t>
            </w: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Очікувані</w:t>
            </w: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показники</w:t>
            </w:r>
          </w:p>
        </w:tc>
      </w:tr>
      <w:tr w:rsidR="00737EB6" w:rsidRPr="00E3348F" w:rsidTr="00D8263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5C" w:rsidRPr="00E3348F" w:rsidRDefault="00737EB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5C" w:rsidRPr="00E3348F" w:rsidRDefault="00195338" w:rsidP="006B1CFC">
            <w:pPr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</w:rPr>
              <w:t>Забезпечення КНП «Новгород-Сіверський районний Центр ПМСД»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 xml:space="preserve"> енергоресурсами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16" w:rsidRPr="00E3348F" w:rsidRDefault="007F51ED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</w:t>
            </w:r>
            <w:r w:rsidR="007A03AE"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Забезпечення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КНП «Новгород-Сіверський районний Центр ПМСД» фінансовими ресурсами на оплату ко</w:t>
            </w:r>
            <w:r w:rsidR="00D82635" w:rsidRPr="00E3348F">
              <w:rPr>
                <w:rFonts w:ascii="Times New Roman" w:hAnsi="Times New Roman"/>
                <w:sz w:val="24"/>
                <w:szCs w:val="24"/>
              </w:rPr>
              <w:t>мунальних послуг за 2020</w:t>
            </w:r>
            <w:r w:rsidR="007B5D26" w:rsidRPr="00E3348F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 xml:space="preserve"> по амбулаторії № 1</w:t>
            </w:r>
          </w:p>
          <w:p w:rsidR="007F53D8" w:rsidRPr="00E3348F" w:rsidRDefault="007F53D8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</w:p>
          <w:p w:rsidR="007F51ED" w:rsidRPr="00E3348F" w:rsidRDefault="007F51ED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2)</w:t>
            </w:r>
            <w:r w:rsidR="007A03AE"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Забезпечення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КНП «Новгород-Сіверський районний Центр ПМСД» фінансовими ресурсами на оплату комунальних послуг та енергоносіїв</w:t>
            </w:r>
            <w:r w:rsidR="00D82635" w:rsidRPr="00E3348F">
              <w:rPr>
                <w:rFonts w:ascii="Times New Roman" w:hAnsi="Times New Roman"/>
                <w:sz w:val="24"/>
                <w:szCs w:val="24"/>
              </w:rPr>
              <w:t xml:space="preserve"> за 2020</w:t>
            </w:r>
            <w:r w:rsidR="007B5D26" w:rsidRPr="00E3348F">
              <w:rPr>
                <w:rFonts w:ascii="Times New Roman" w:hAnsi="Times New Roman"/>
                <w:sz w:val="24"/>
                <w:szCs w:val="24"/>
              </w:rPr>
              <w:t xml:space="preserve"> рік по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фельдшерському пункту с. Горбове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D82635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737EB6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E3348F" w:rsidRDefault="007F53D8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1ED" w:rsidRPr="00E3348F" w:rsidRDefault="00D82635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86416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737EB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КНП «Новгород-Сіверський районний Центр ПМСД»</w:t>
            </w: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1ED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КНП «Новгород-Сіверський районний Центр ПМСД»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16" w:rsidRPr="006B1CFC" w:rsidRDefault="00094519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737EB6"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юджет</w:t>
            </w: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Новгород-Сіверської міської ОТГ</w:t>
            </w:r>
          </w:p>
          <w:p w:rsidR="00E86416" w:rsidRPr="006B1CFC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6B1CFC" w:rsidRDefault="007F53D8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6B1CFC" w:rsidRDefault="007F53D8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6B1CFC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94519" w:rsidRPr="006B1CFC" w:rsidRDefault="00094519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Новгород-Сіверської міської ОТГ</w:t>
            </w:r>
          </w:p>
          <w:p w:rsidR="007F51ED" w:rsidRPr="00094519" w:rsidRDefault="007F51ED" w:rsidP="006B1CF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EB6" w:rsidRPr="00E3348F" w:rsidRDefault="00D82635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D82635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4,5</w:t>
            </w:r>
          </w:p>
          <w:p w:rsidR="007F51ED" w:rsidRPr="00E3348F" w:rsidRDefault="007F51ED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F51ED" w:rsidRPr="00E3348F" w:rsidRDefault="007F51ED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>підвищення ефективності роботи КНП «Новгород-Сіверський районний Центр ПМСД»;</w:t>
            </w:r>
          </w:p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>створення комфортних умов надання первинної медичної допомоги лікарями, середніми медичними працівниками пацієнтам;</w:t>
            </w:r>
          </w:p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 xml:space="preserve">зменшення відтоку пацієнтів до закладів охорони здоров’я інших районів та міст Чернігівської, Сумської областей.   </w:t>
            </w:r>
          </w:p>
        </w:tc>
      </w:tr>
      <w:tr w:rsidR="00E86416" w:rsidRPr="00E3348F" w:rsidTr="00D82635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E86416" w:rsidP="006B1CFC">
            <w:pPr>
              <w:rPr>
                <w:sz w:val="20"/>
                <w:szCs w:val="20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7D261D" w:rsidP="006B1CFC">
            <w:pPr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</w:rPr>
              <w:t>134</w:t>
            </w:r>
            <w:r w:rsidR="00C10B20" w:rsidRPr="00E3348F">
              <w:rPr>
                <w:rFonts w:ascii="Times New Roman" w:hAnsi="Times New Roman"/>
                <w:sz w:val="24"/>
                <w:szCs w:val="24"/>
              </w:rPr>
              <w:t>,</w:t>
            </w:r>
            <w:r w:rsidRPr="00E334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61529" w:rsidRPr="00E3348F" w:rsidRDefault="00561529" w:rsidP="006B1CFC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561529" w:rsidRPr="00E3348F" w:rsidSect="008D3FD5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561529" w:rsidRPr="00E3348F" w:rsidRDefault="00561529" w:rsidP="006B1CFC">
      <w:pPr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 xml:space="preserve">     </w:t>
      </w: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 2</w:t>
      </w:r>
    </w:p>
    <w:p w:rsidR="00561529" w:rsidRPr="006B1CFC" w:rsidRDefault="00D82635" w:rsidP="006B1CFC">
      <w:pPr>
        <w:ind w:left="43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90050F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90050F" w:rsidRPr="00E3348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0050F" w:rsidRPr="006B1CF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8126EC" w:rsidRPr="006B1C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0050F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561529" w:rsidRPr="00E3348F" w:rsidRDefault="00B3087C" w:rsidP="006B1CFC">
      <w:pPr>
        <w:ind w:left="439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4"/>
          <w:lang w:eastAsia="ru-RU"/>
        </w:rPr>
        <w:t>( розділ IV )</w:t>
      </w:r>
    </w:p>
    <w:p w:rsidR="00B3087C" w:rsidRPr="00E3348F" w:rsidRDefault="00B3087C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087C" w:rsidRPr="00E3348F" w:rsidRDefault="00561529" w:rsidP="006B1CF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Ресурсне забезпечення </w:t>
      </w:r>
      <w:r w:rsidR="0090050F"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Програми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підтримки комунального некомерційного підприємства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«Новгород-Сіверський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районний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Центр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первинної </w:t>
      </w:r>
    </w:p>
    <w:p w:rsidR="00561529" w:rsidRPr="00E3348F" w:rsidRDefault="0090050F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на 2020</w:t>
      </w:r>
      <w:r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:rsidR="00561529" w:rsidRPr="00E3348F" w:rsidRDefault="00561529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3379"/>
        <w:gridCol w:w="3467"/>
        <w:gridCol w:w="2900"/>
      </w:tblGrid>
      <w:tr w:rsidR="00561529" w:rsidRPr="00E3348F" w:rsidTr="00E86416"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561529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</w:t>
            </w:r>
          </w:p>
          <w:p w:rsidR="00561529" w:rsidRPr="00E3348F" w:rsidRDefault="00561529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коштів, які проп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онується залучити до виконання П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E8641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Етапи виконання П</w:t>
            </w:r>
            <w:r w:rsidR="00561529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561529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Усього витрат на виконання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</w:tr>
      <w:tr w:rsidR="00E86416" w:rsidRPr="00E3348F" w:rsidTr="00E864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E8641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416" w:rsidRPr="00E3348F" w:rsidTr="00E86416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7D261D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рік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61D" w:rsidRPr="00E3348F" w:rsidTr="00E864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Всього, тис. грн.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</w:tr>
      <w:tr w:rsidR="007D261D" w:rsidRPr="00E3348F" w:rsidTr="00E864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т.ч. </w:t>
            </w:r>
            <w:r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  <w:r w:rsidR="008126EC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Новгород-Сіверської міської об’єднаної територіальної громади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</w:tr>
    </w:tbl>
    <w:p w:rsidR="00561529" w:rsidRPr="00E3348F" w:rsidRDefault="00561529" w:rsidP="006B1CF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3348F">
        <w:rPr>
          <w:lang w:val="uk-UA"/>
        </w:rPr>
        <w:br/>
      </w:r>
      <w:r w:rsidRPr="00E3348F">
        <w:rPr>
          <w:lang w:val="uk-UA"/>
        </w:rPr>
        <w:br/>
      </w:r>
      <w:r w:rsidRPr="00E3348F">
        <w:rPr>
          <w:lang w:val="uk-UA"/>
        </w:rPr>
        <w:br/>
      </w:r>
    </w:p>
    <w:p w:rsidR="00561529" w:rsidRPr="00E3348F" w:rsidRDefault="00561529" w:rsidP="006B1CFC"/>
    <w:p w:rsidR="00D94325" w:rsidRPr="00E3348F" w:rsidRDefault="00D94325" w:rsidP="006B1CFC"/>
    <w:sectPr w:rsidR="00D94325" w:rsidRPr="00E3348F" w:rsidSect="008D3F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056CA"/>
    <w:rsid w:val="000445FA"/>
    <w:rsid w:val="0005130C"/>
    <w:rsid w:val="0006780E"/>
    <w:rsid w:val="000743D2"/>
    <w:rsid w:val="00085585"/>
    <w:rsid w:val="00086092"/>
    <w:rsid w:val="00094519"/>
    <w:rsid w:val="00096AAF"/>
    <w:rsid w:val="000D488A"/>
    <w:rsid w:val="000D7C2D"/>
    <w:rsid w:val="000E197B"/>
    <w:rsid w:val="000F2CAA"/>
    <w:rsid w:val="00107221"/>
    <w:rsid w:val="00107599"/>
    <w:rsid w:val="0012379B"/>
    <w:rsid w:val="00135D9F"/>
    <w:rsid w:val="00137350"/>
    <w:rsid w:val="001447AE"/>
    <w:rsid w:val="00144A46"/>
    <w:rsid w:val="00163272"/>
    <w:rsid w:val="001862AC"/>
    <w:rsid w:val="00193A5A"/>
    <w:rsid w:val="00195338"/>
    <w:rsid w:val="001C5C4E"/>
    <w:rsid w:val="001D62B3"/>
    <w:rsid w:val="001F6513"/>
    <w:rsid w:val="00204DD7"/>
    <w:rsid w:val="00213FF6"/>
    <w:rsid w:val="00217509"/>
    <w:rsid w:val="00223208"/>
    <w:rsid w:val="00230A3B"/>
    <w:rsid w:val="00241936"/>
    <w:rsid w:val="002E57AB"/>
    <w:rsid w:val="0030574C"/>
    <w:rsid w:val="00335855"/>
    <w:rsid w:val="00353C8A"/>
    <w:rsid w:val="003707E8"/>
    <w:rsid w:val="00371108"/>
    <w:rsid w:val="0038101F"/>
    <w:rsid w:val="00386473"/>
    <w:rsid w:val="003A572A"/>
    <w:rsid w:val="003B2299"/>
    <w:rsid w:val="003C1B45"/>
    <w:rsid w:val="003D7C5D"/>
    <w:rsid w:val="0046639F"/>
    <w:rsid w:val="00477982"/>
    <w:rsid w:val="0049288E"/>
    <w:rsid w:val="004A3425"/>
    <w:rsid w:val="004C4AC4"/>
    <w:rsid w:val="004E228A"/>
    <w:rsid w:val="004F1410"/>
    <w:rsid w:val="004F157D"/>
    <w:rsid w:val="00501EE5"/>
    <w:rsid w:val="00514EE7"/>
    <w:rsid w:val="00541436"/>
    <w:rsid w:val="005474FF"/>
    <w:rsid w:val="00561529"/>
    <w:rsid w:val="005748E6"/>
    <w:rsid w:val="00580897"/>
    <w:rsid w:val="00581DC3"/>
    <w:rsid w:val="0058485C"/>
    <w:rsid w:val="005859D0"/>
    <w:rsid w:val="005B304D"/>
    <w:rsid w:val="005E030C"/>
    <w:rsid w:val="005E3214"/>
    <w:rsid w:val="00622CDE"/>
    <w:rsid w:val="0062408D"/>
    <w:rsid w:val="0064659D"/>
    <w:rsid w:val="006B1CFC"/>
    <w:rsid w:val="006E01D3"/>
    <w:rsid w:val="006E0E06"/>
    <w:rsid w:val="006F6057"/>
    <w:rsid w:val="00707B3C"/>
    <w:rsid w:val="0071014B"/>
    <w:rsid w:val="00717A40"/>
    <w:rsid w:val="00725EA0"/>
    <w:rsid w:val="00737EB6"/>
    <w:rsid w:val="00784897"/>
    <w:rsid w:val="007A03AE"/>
    <w:rsid w:val="007B1AD9"/>
    <w:rsid w:val="007B5D26"/>
    <w:rsid w:val="007C534E"/>
    <w:rsid w:val="007C7173"/>
    <w:rsid w:val="007D261D"/>
    <w:rsid w:val="007F300F"/>
    <w:rsid w:val="007F51ED"/>
    <w:rsid w:val="007F53D8"/>
    <w:rsid w:val="008126EC"/>
    <w:rsid w:val="00813822"/>
    <w:rsid w:val="00824ABD"/>
    <w:rsid w:val="00834DCB"/>
    <w:rsid w:val="00871F5F"/>
    <w:rsid w:val="008864DE"/>
    <w:rsid w:val="00887A47"/>
    <w:rsid w:val="008A4D14"/>
    <w:rsid w:val="008D3FD5"/>
    <w:rsid w:val="0090050F"/>
    <w:rsid w:val="00904453"/>
    <w:rsid w:val="00904A0D"/>
    <w:rsid w:val="00927F4C"/>
    <w:rsid w:val="00931638"/>
    <w:rsid w:val="00952A3B"/>
    <w:rsid w:val="00981030"/>
    <w:rsid w:val="009938BB"/>
    <w:rsid w:val="009A057F"/>
    <w:rsid w:val="009A16D5"/>
    <w:rsid w:val="009B738A"/>
    <w:rsid w:val="009B76A3"/>
    <w:rsid w:val="009D0D66"/>
    <w:rsid w:val="00A0764A"/>
    <w:rsid w:val="00A8489E"/>
    <w:rsid w:val="00A957C0"/>
    <w:rsid w:val="00AA3478"/>
    <w:rsid w:val="00AC6D77"/>
    <w:rsid w:val="00AE6030"/>
    <w:rsid w:val="00B3087C"/>
    <w:rsid w:val="00B4300F"/>
    <w:rsid w:val="00B477CD"/>
    <w:rsid w:val="00B54CD4"/>
    <w:rsid w:val="00B60BB8"/>
    <w:rsid w:val="00B85187"/>
    <w:rsid w:val="00BA1284"/>
    <w:rsid w:val="00BB4A61"/>
    <w:rsid w:val="00BB7CEA"/>
    <w:rsid w:val="00BB7FD8"/>
    <w:rsid w:val="00BE1B0F"/>
    <w:rsid w:val="00BE31BD"/>
    <w:rsid w:val="00BF46E6"/>
    <w:rsid w:val="00C0014A"/>
    <w:rsid w:val="00C10B20"/>
    <w:rsid w:val="00C10FA7"/>
    <w:rsid w:val="00C1141B"/>
    <w:rsid w:val="00C17777"/>
    <w:rsid w:val="00C37FC8"/>
    <w:rsid w:val="00C46C7A"/>
    <w:rsid w:val="00C53D6A"/>
    <w:rsid w:val="00C7112E"/>
    <w:rsid w:val="00C76C82"/>
    <w:rsid w:val="00C96145"/>
    <w:rsid w:val="00C97FF5"/>
    <w:rsid w:val="00CA3ADA"/>
    <w:rsid w:val="00CA53BE"/>
    <w:rsid w:val="00CC0A26"/>
    <w:rsid w:val="00CC7D8A"/>
    <w:rsid w:val="00CD17AB"/>
    <w:rsid w:val="00CE095A"/>
    <w:rsid w:val="00D32CA1"/>
    <w:rsid w:val="00D46675"/>
    <w:rsid w:val="00D46772"/>
    <w:rsid w:val="00D82635"/>
    <w:rsid w:val="00D87196"/>
    <w:rsid w:val="00D94325"/>
    <w:rsid w:val="00DB3A8C"/>
    <w:rsid w:val="00DC4327"/>
    <w:rsid w:val="00DF7440"/>
    <w:rsid w:val="00E129C7"/>
    <w:rsid w:val="00E259F2"/>
    <w:rsid w:val="00E3348F"/>
    <w:rsid w:val="00E40706"/>
    <w:rsid w:val="00E52D83"/>
    <w:rsid w:val="00E73882"/>
    <w:rsid w:val="00E846BD"/>
    <w:rsid w:val="00E86416"/>
    <w:rsid w:val="00E924FC"/>
    <w:rsid w:val="00E933E5"/>
    <w:rsid w:val="00EA5B62"/>
    <w:rsid w:val="00EB1EFA"/>
    <w:rsid w:val="00EC0E43"/>
    <w:rsid w:val="00EE0243"/>
    <w:rsid w:val="00EE4F13"/>
    <w:rsid w:val="00EF3509"/>
    <w:rsid w:val="00F0436C"/>
    <w:rsid w:val="00F10507"/>
    <w:rsid w:val="00F37AEC"/>
    <w:rsid w:val="00F54C97"/>
    <w:rsid w:val="00F5604A"/>
    <w:rsid w:val="00F8282E"/>
    <w:rsid w:val="00F8467A"/>
    <w:rsid w:val="00FA6E58"/>
    <w:rsid w:val="00FB04EF"/>
    <w:rsid w:val="00FB3782"/>
    <w:rsid w:val="00FB497C"/>
    <w:rsid w:val="00FD2A53"/>
    <w:rsid w:val="00FD55CF"/>
    <w:rsid w:val="00FE24CA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2379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A9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E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5E030C"/>
    <w:rPr>
      <w:rFonts w:ascii="Courier New" w:eastAsia="Times New Roman" w:hAnsi="Courier New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9330-9CC2-44D0-9C3B-18B98828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10184</Words>
  <Characters>5805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15958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Мишель</dc:creator>
  <cp:lastModifiedBy>Секретар</cp:lastModifiedBy>
  <cp:revision>46</cp:revision>
  <cp:lastPrinted>2019-05-28T08:52:00Z</cp:lastPrinted>
  <dcterms:created xsi:type="dcterms:W3CDTF">2020-05-25T07:57:00Z</dcterms:created>
  <dcterms:modified xsi:type="dcterms:W3CDTF">2020-05-27T13:20:00Z</dcterms:modified>
</cp:coreProperties>
</file>